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人血白蛋白、静注人免疫球蛋白（pH4）包装容器相容性及密封性委托验证事项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采购第二次公告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eastAsia="仿宋_GB2312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：人血白蛋白、静注人免疫球蛋白（pH4）包装容器相容性及密封性委托验证事项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val="en-US" w:eastAsia="zh-CN"/>
        </w:rPr>
        <w:t>兰州血制人血白蛋白、静注人免疫球蛋白（pH4）包装容器相容性及密封性验证。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  <w:bookmarkStart w:id="0" w:name="_GoBack"/>
      <w:bookmarkEnd w:id="0"/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投标方在中国境内注册并具有独立法人资格的合法企业，营业执照在有效期内，具有独立承担民事责任的能力；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具有良好的商业信誉和健全的财务会计制度；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有依法缴纳税收和社会保障资金的良好记录；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具有CMA+CNAS资质，有健全的技术管理和质量保证体系；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有符合开展检测服务所需要的仪器、设备和符合GLP要求的工作场所，属于强制检定的计量器具，有计量检定合格证书；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最近三年内没有发生骗取中标、严重违约等不良行为；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没有处于被责令停业，财产被接管、冻结及破产状态，未在财政部门处罚期内；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近三年内在经营活动中没有重大违法、违规记录，且符合法律、行政法规规定的其他条件。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</w:t>
      </w:r>
      <w:r>
        <w:rPr>
          <w:rFonts w:hint="eastAsia" w:asciiTheme="minorEastAsia" w:hAnsiTheme="minorEastAsia"/>
          <w:lang w:eastAsia="zh-CN"/>
        </w:rPr>
        <w:t>上述</w:t>
      </w:r>
      <w:r>
        <w:rPr>
          <w:rFonts w:hint="eastAsia" w:asciiTheme="minorEastAsia" w:hAnsiTheme="minorEastAsia"/>
        </w:rPr>
        <w:t>规定的截止时间前，将投标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</w:t>
      </w:r>
      <w:r>
        <w:rPr>
          <w:rFonts w:hint="eastAsia" w:asciiTheme="minorEastAsia" w:hAnsiTheme="minorEastAsia"/>
          <w:lang w:eastAsia="zh-CN"/>
        </w:rPr>
        <w:t>交到以下联系人处</w:t>
      </w:r>
      <w:r>
        <w:rPr>
          <w:rFonts w:hint="eastAsia" w:asciiTheme="minorEastAsia" w:hAnsiTheme="minorEastAsia"/>
        </w:rPr>
        <w:t>，投标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截止时间以后送达的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>YANGJING141</w:t>
      </w:r>
      <w:r>
        <w:rPr>
          <w:rFonts w:hint="eastAsia" w:asciiTheme="majorAscii" w:hAnsiTheme="minorEastAsia"/>
          <w:lang w:val="zh-CN" w:eastAsia="zh-CN"/>
        </w:rPr>
        <w:t>@sinopharm.com</w:t>
      </w:r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4992F54"/>
    <w:rsid w:val="07F6288B"/>
    <w:rsid w:val="097B3757"/>
    <w:rsid w:val="0A2722CD"/>
    <w:rsid w:val="0C482AC6"/>
    <w:rsid w:val="0C843EC4"/>
    <w:rsid w:val="0FCE7D0A"/>
    <w:rsid w:val="107E01E1"/>
    <w:rsid w:val="11860AC4"/>
    <w:rsid w:val="12E53806"/>
    <w:rsid w:val="143C46CE"/>
    <w:rsid w:val="18684F5D"/>
    <w:rsid w:val="20437CF1"/>
    <w:rsid w:val="208E3F83"/>
    <w:rsid w:val="21190692"/>
    <w:rsid w:val="212D27CC"/>
    <w:rsid w:val="2277297E"/>
    <w:rsid w:val="29311027"/>
    <w:rsid w:val="294F0868"/>
    <w:rsid w:val="299833CD"/>
    <w:rsid w:val="29C16D16"/>
    <w:rsid w:val="2D597129"/>
    <w:rsid w:val="2E221682"/>
    <w:rsid w:val="36726A35"/>
    <w:rsid w:val="38995298"/>
    <w:rsid w:val="38D1374E"/>
    <w:rsid w:val="3E8B5277"/>
    <w:rsid w:val="40082CD0"/>
    <w:rsid w:val="4041385E"/>
    <w:rsid w:val="47294386"/>
    <w:rsid w:val="479211E1"/>
    <w:rsid w:val="4845347A"/>
    <w:rsid w:val="48C13573"/>
    <w:rsid w:val="4A0D41BF"/>
    <w:rsid w:val="501126B8"/>
    <w:rsid w:val="50206B36"/>
    <w:rsid w:val="50CB3B72"/>
    <w:rsid w:val="52090FA9"/>
    <w:rsid w:val="54CE6D65"/>
    <w:rsid w:val="59075F45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2021-05-28T08:38:19Z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8D4C254E2753460299482A031AA3A62C</vt:lpwstr>
  </property>
</Properties>
</file>